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bookmarkStart w:id="0" w:name="n2"/>
            <w:bookmarkEnd w:id="0"/>
            <w:r>
              <w:rPr>
                <w:strike w:val="0"/>
                <w:u w:val="none"/>
                <w:lang w:val="uk" w:eastAsia="uk"/>
              </w:rPr>
              <w:drawing>
                <wp:inline>
                  <wp:extent cx="571500" cy="7620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7"/>
              <w:spacing w:before="300" w:after="0"/>
              <w:ind w:left="450" w:right="450"/>
              <w:rPr>
                <w:lang w:val="uk" w:eastAsia="uk"/>
              </w:rPr>
            </w:pPr>
            <w:r>
              <w:rPr>
                <w:rStyle w:val="spanrvts23"/>
                <w:b/>
                <w:bCs/>
                <w:i w:val="0"/>
                <w:iCs w:val="0"/>
                <w:lang w:val="uk" w:eastAsia="uk"/>
              </w:rPr>
              <w:t>КАБІНЕТ МІНІСТРІВ УКРАЇНИ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64"/>
                <w:b/>
                <w:bCs/>
                <w:i w:val="0"/>
                <w:iCs w:val="0"/>
                <w:lang w:val="uk" w:eastAsia="uk"/>
              </w:rPr>
              <w:t>ПОСТАНОВА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 xml:space="preserve">від 14 лютого 2017 р. № 88 </w:t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Київ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1" w:name="n3"/>
      <w:bookmarkEnd w:id="1"/>
      <w:r>
        <w:rPr>
          <w:rStyle w:val="spanrvts23"/>
          <w:b/>
          <w:bCs/>
          <w:i w:val="0"/>
          <w:iCs w:val="0"/>
          <w:lang w:val="uk" w:eastAsia="uk"/>
        </w:rPr>
        <w:t>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</w:t>
      </w:r>
    </w:p>
    <w:p>
      <w:pPr>
        <w:pStyle w:val="rvps18"/>
        <w:spacing w:before="150" w:after="300"/>
        <w:ind w:left="450" w:right="450"/>
        <w:rPr>
          <w:i/>
          <w:iCs/>
          <w:lang w:val="uk" w:eastAsia="uk"/>
        </w:rPr>
      </w:pPr>
      <w:bookmarkStart w:id="2" w:name="n47"/>
      <w:bookmarkEnd w:id="2"/>
      <w:r>
        <w:rPr>
          <w:i/>
          <w:iCs/>
          <w:lang w:val="uk" w:eastAsia="uk"/>
        </w:rPr>
        <w:t xml:space="preserve">{Із змінами, внесеними згідно з Постановами КМ </w:t>
      </w:r>
      <w:r>
        <w:rPr>
          <w:i/>
          <w:iCs/>
          <w:lang w:val="uk" w:eastAsia="uk"/>
        </w:rPr>
        <w:br/>
      </w:r>
      <w:hyperlink r:id="rId5" w:anchor="n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863 від 15.11.2017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6" w:anchor="n2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88 від 21.02.2018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7" w:anchor="n39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129 від 27.02.2019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8" w:anchor="n16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152 від 26.02.2020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9" w:anchor="n9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477 від 17.05.2021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10" w:anchor="n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365 від 26.03.2022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11" w:anchor="n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396 від 09.04.2024</w:t>
        </w:r>
      </w:hyperlink>
      <w:r>
        <w:rPr>
          <w:i/>
          <w:iCs/>
          <w:lang w:val="uk" w:eastAsia="uk"/>
        </w:rPr>
        <w:t xml:space="preserve"> </w:t>
      </w:r>
      <w:r>
        <w:rPr>
          <w:i/>
          <w:iCs/>
          <w:lang w:val="uk" w:eastAsia="uk"/>
        </w:rPr>
        <w:br/>
      </w:r>
      <w:hyperlink r:id="rId12" w:anchor="n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1519 від 27.12.2024</w:t>
        </w:r>
      </w:hyperlink>
      <w:r>
        <w:rPr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" w:name="n4"/>
      <w:bookmarkEnd w:id="3"/>
      <w:r>
        <w:rPr>
          <w:lang w:val="uk" w:eastAsia="uk"/>
        </w:rPr>
        <w:t xml:space="preserve">Відповідно до </w:t>
      </w:r>
      <w:hyperlink r:id="rId13" w:anchor="n1531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частини другої</w:t>
        </w:r>
      </w:hyperlink>
      <w:r>
        <w:rPr>
          <w:lang w:val="uk" w:eastAsia="uk"/>
        </w:rPr>
        <w:t xml:space="preserve"> статті 97 Бюджетного кодексу України Кабінет Міністрів України </w:t>
      </w:r>
      <w:r>
        <w:rPr>
          <w:rStyle w:val="spanrvts52"/>
          <w:b/>
          <w:bCs/>
          <w:i w:val="0"/>
          <w:iCs w:val="0"/>
          <w:lang w:val="uk" w:eastAsia="uk"/>
        </w:rPr>
        <w:t>постановляє</w:t>
      </w:r>
      <w:r>
        <w:rPr>
          <w:lang w:val="uk" w:eastAsia="uk"/>
        </w:rPr>
        <w:t>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" w:name="n5"/>
      <w:bookmarkEnd w:id="4"/>
      <w:r>
        <w:rPr>
          <w:lang w:val="uk" w:eastAsia="uk"/>
        </w:rPr>
        <w:t xml:space="preserve">Затвердити </w:t>
      </w:r>
      <w:hyperlink w:anchor="n8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>
        <w:rPr>
          <w:lang w:val="uk" w:eastAsia="uk"/>
        </w:rPr>
        <w:t>, що додаються.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8"/>
        <w:gridCol w:w="655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bookmarkStart w:id="5" w:name="n6"/>
            <w:bookmarkEnd w:id="5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Прем'єр-міністр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В.ГРОЙСМАН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Інд. 73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lang w:val="uk" w:eastAsia="uk"/>
        </w:rPr>
      </w:pPr>
      <w:r>
        <w:pict>
          <v:rect id="_x0000_i1025" style="width:0;height:0.75pt" o:hrpct="0" o:hrstd="t" o:hr="t" filled="t" fillcolor="gray" stroked="f">
            <v:path strokeok="f"/>
          </v:rect>
        </w:pict>
      </w:r>
      <w:bookmarkStart w:id="6" w:name="n44"/>
      <w:bookmarkEnd w:id="6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744"/>
        <w:gridCol w:w="561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7" w:name="n7"/>
            <w:bookmarkEnd w:id="7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 xml:space="preserve">ЗАТВЕРДЖЕНО </w:t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 xml:space="preserve">постановою Кабінету Міністрів України </w:t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від 14 лютого 2017 р. № 88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8" w:name="n8"/>
      <w:bookmarkEnd w:id="8"/>
      <w:r>
        <w:rPr>
          <w:rStyle w:val="spanrvts23"/>
          <w:b/>
          <w:bCs/>
          <w:i w:val="0"/>
          <w:iCs w:val="0"/>
          <w:lang w:val="uk" w:eastAsia="uk"/>
        </w:rPr>
        <w:t xml:space="preserve">ПОРЯДОК ТА УМОВИ </w:t>
      </w:r>
      <w:r>
        <w:rPr>
          <w:rStyle w:val="spanrvts23"/>
          <w:b/>
          <w:bCs/>
          <w:i w:val="0"/>
          <w:iCs w:val="0"/>
          <w:lang w:val="uk" w:eastAsia="uk"/>
        </w:rPr>
        <w:br/>
      </w:r>
      <w:r>
        <w:rPr>
          <w:rStyle w:val="spanrvts23"/>
          <w:b/>
          <w:bCs/>
          <w:i w:val="0"/>
          <w:iCs w:val="0"/>
          <w:lang w:val="uk" w:eastAsia="uk"/>
        </w:rPr>
        <w:t>надання субвенції з державного бюджету місцевим бюджетам на надання державної підтримки особам з особливими освітніми потребами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" w:name="n9"/>
      <w:bookmarkEnd w:id="9"/>
      <w:r>
        <w:rPr>
          <w:lang w:val="uk" w:eastAsia="uk"/>
        </w:rPr>
        <w:t>1. Ці Порядок та умови визначають механізм надання субвенції з державного бюджету місцевим бюджетам на надання державної підтримки особам з особливими освітніми потребами (далі - субвенція).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" w:name="n10"/>
      <w:bookmarkEnd w:id="10"/>
      <w:r>
        <w:rPr>
          <w:lang w:val="uk" w:eastAsia="uk"/>
        </w:rPr>
        <w:t>2. Головним розпорядником субвенції є МОН.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1" w:name="n11"/>
      <w:bookmarkEnd w:id="11"/>
      <w:r>
        <w:rPr>
          <w:lang w:val="uk" w:eastAsia="uk"/>
        </w:rPr>
        <w:t>Розпорядниками субвенції за місцевими бюджетами є структурні підрозділи з питань освіти і науки місцевих органів виконавчої влади та органів місцевого самоврядування, які визначаються рішенням відповідної місцевої ради про такий бюджет згідно із законодавством.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2" w:name="n129"/>
      <w:bookmarkEnd w:id="12"/>
      <w:r>
        <w:rPr>
          <w:rStyle w:val="spanrvts46"/>
          <w:b w:val="0"/>
          <w:bCs w:val="0"/>
          <w:i/>
          <w:iCs/>
          <w:lang w:val="uk" w:eastAsia="uk"/>
        </w:rPr>
        <w:t xml:space="preserve">{Абзац другий пункту 2 в редакції Постанови КМ </w:t>
      </w:r>
      <w:hyperlink r:id="rId11" w:anchor="n19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396 від 09.04.2024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3" w:name="n12"/>
      <w:bookmarkEnd w:id="13"/>
      <w:r>
        <w:rPr>
          <w:lang w:val="uk" w:eastAsia="uk"/>
        </w:rPr>
        <w:t>3. Субвенція спрямовується на надання державної підтримки особам з особливими освітніми потребами, які здобувають освіту в інклюзивних групах (класах) у закладах дошкільної освіти (крім закладів дошкільної освіти (ясел-садків) компенсуючого типу, будинків дитини, закладів дошкільної освіти (дитячих будинків) інтернатного типу), закладах загальної середньої освіти (крім спеціальних шкіл, санаторних шкіл, навчально-реабілітаційних центрів) комунальної власності, закладах професійної (професійно-технічної) освіти державної та комунальної власності, а саме дітям сліпим та із зниженим зором, глухим та із зниженим слухом, з тяжкими порушеннями мовлення, із затримкою психічного розвитку, з порушеннями опорно-рухового апарату, з порушенням інтелектуального розвитку, із складними порушеннями розвитку (у тому числі з розладами аутичного спектру).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4" w:name="n48"/>
      <w:bookmarkEnd w:id="14"/>
      <w:r>
        <w:rPr>
          <w:rStyle w:val="spanrvts46"/>
          <w:b w:val="0"/>
          <w:bCs w:val="0"/>
          <w:i/>
          <w:iCs/>
          <w:lang w:val="uk" w:eastAsia="uk"/>
        </w:rPr>
        <w:t xml:space="preserve">{Пункт 3 із змінами, внесеними згідно з Постановами КМ </w:t>
      </w:r>
      <w:hyperlink r:id="rId5" w:anchor="n10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7" w:anchor="n40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12" w:anchor="n15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5" w:name="n13"/>
      <w:bookmarkEnd w:id="15"/>
      <w:r>
        <w:rPr>
          <w:lang w:val="uk" w:eastAsia="uk"/>
        </w:rPr>
        <w:t>4. За рахунок субвенції здійснюється оплата таких видатків: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6" w:name="n14"/>
      <w:bookmarkEnd w:id="16"/>
      <w:r>
        <w:rPr>
          <w:lang w:val="uk" w:eastAsia="uk"/>
        </w:rPr>
        <w:t>проведення (надання) додаткових психолого-педагогічних і корекційно-розвиткових занять (послуг) (</w:t>
      </w:r>
      <w:hyperlink w:anchor="n29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додаток 1</w:t>
        </w:r>
      </w:hyperlink>
      <w:r>
        <w:rPr>
          <w:lang w:val="uk" w:eastAsia="uk"/>
        </w:rPr>
        <w:t>), що визначені індивідуальною програмою розвитку, особам з особливими освітніми потребами, які здобувають освіту в інклюзивних класах (групах) закладів дошкільної та загальної середньої освіти, а також особам з особливими освітніми потребами, які у закладах професійної (професійно-технічної) освіти одночасно з набуттям кваліфікацій професійної (професійно-технічної) освіти здобувають загальну середню освіту.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7" w:name="n114"/>
      <w:bookmarkEnd w:id="17"/>
      <w:r>
        <w:rPr>
          <w:rStyle w:val="spanrvts46"/>
          <w:b w:val="0"/>
          <w:bCs w:val="0"/>
          <w:i/>
          <w:iCs/>
          <w:lang w:val="uk" w:eastAsia="uk"/>
        </w:rPr>
        <w:t xml:space="preserve">{Абзац другий пункту 4 із змінами, внесеними згідно з Постановою КМ </w:t>
      </w:r>
      <w:hyperlink r:id="rId8" w:anchor="n18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152 від 26.02.2020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8" w:name="n15"/>
      <w:bookmarkEnd w:id="18"/>
      <w:r>
        <w:rPr>
          <w:rStyle w:val="spanrvts46"/>
          <w:b w:val="0"/>
          <w:bCs w:val="0"/>
          <w:i/>
          <w:iCs/>
          <w:lang w:val="uk" w:eastAsia="uk"/>
        </w:rPr>
        <w:t xml:space="preserve">{Абзац третій пункту 4 виключено на підставі Постанови КМ </w:t>
      </w:r>
      <w:hyperlink r:id="rId12" w:anchor="n16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9" w:name="n71"/>
      <w:bookmarkEnd w:id="19"/>
      <w:r>
        <w:rPr>
          <w:rStyle w:val="spanrvts46"/>
          <w:b w:val="0"/>
          <w:bCs w:val="0"/>
          <w:i/>
          <w:iCs/>
          <w:lang w:val="uk" w:eastAsia="uk"/>
        </w:rPr>
        <w:t xml:space="preserve">{Абзац четвертий пункту 4 виключено на підставі Постанови КМ </w:t>
      </w:r>
      <w:hyperlink r:id="rId8" w:anchor="n21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152 від 26.02.2020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20" w:name="n74"/>
      <w:bookmarkEnd w:id="20"/>
      <w:r>
        <w:rPr>
          <w:rStyle w:val="spanrvts46"/>
          <w:b w:val="0"/>
          <w:bCs w:val="0"/>
          <w:i/>
          <w:iCs/>
          <w:lang w:val="uk" w:eastAsia="uk"/>
        </w:rPr>
        <w:t xml:space="preserve">{Абзац п'ятий пункту 4 виключено на підставі Постанови КМ </w:t>
      </w:r>
      <w:hyperlink r:id="rId12" w:anchor="n16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21" w:name="n49"/>
      <w:bookmarkEnd w:id="21"/>
      <w:r>
        <w:rPr>
          <w:rStyle w:val="spanrvts46"/>
          <w:b w:val="0"/>
          <w:bCs w:val="0"/>
          <w:i/>
          <w:iCs/>
          <w:lang w:val="uk" w:eastAsia="uk"/>
        </w:rPr>
        <w:t xml:space="preserve">{Пункт 4 в редакції Постанови КМ </w:t>
      </w:r>
      <w:hyperlink r:id="rId7" w:anchor="n41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2" w:name="n16"/>
      <w:bookmarkEnd w:id="22"/>
      <w:r>
        <w:rPr>
          <w:lang w:val="uk" w:eastAsia="uk"/>
        </w:rPr>
        <w:t xml:space="preserve">5. Розподіл субвенції між обласними бюджетами та бюджетами місцевого самоврядування здійснюється відповідно до кількості осіб з особливими освітніми потребами, зазначених у </w:t>
      </w:r>
      <w:hyperlink w:anchor="n12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пункті 3</w:t>
        </w:r>
      </w:hyperlink>
      <w:r>
        <w:rPr>
          <w:lang w:val="uk" w:eastAsia="uk"/>
        </w:rPr>
        <w:t xml:space="preserve"> цих Порядку та умов, які здобувають освіту у відповідних закладах освіти, та з урахуванням рівнів підтримки таких осіб (кількості необхідних корекційно-розвиткових та психолого-педагогічних занять) відповідно до </w:t>
      </w:r>
      <w:hyperlink r:id="rId14" w:anchor="n1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організації інклюзивного навчання у закладах загальної середньої освіти</w:t>
        </w:r>
      </w:hyperlink>
      <w:r>
        <w:rPr>
          <w:lang w:val="uk" w:eastAsia="uk"/>
        </w:rPr>
        <w:t xml:space="preserve">, затвердженого постановою Кабінету Міністрів України від 15 вересня 2021 р. № 957 (Офіційний вісник України, 2021 р., № 76, ст. 4774), і </w:t>
      </w:r>
      <w:hyperlink r:id="rId15" w:anchor="n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організації інклюзивного навчання в закладах дошкільної освіти</w:t>
        </w:r>
      </w:hyperlink>
      <w:r>
        <w:rPr>
          <w:lang w:val="uk" w:eastAsia="uk"/>
        </w:rPr>
        <w:t>, затвердженого постановою Кабінету Міністрів України від 10 квітня 2019 р. № 530 (Офіційний вісник України, 2019 р., № 51, ст. 1735; 2021 р., № 62, ст. 3868).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3" w:name="n136"/>
      <w:bookmarkEnd w:id="23"/>
      <w:r>
        <w:rPr>
          <w:lang w:val="uk" w:eastAsia="uk"/>
        </w:rPr>
        <w:t>Казначейство перераховує щомісяця до 10 числа субвенцію на рахунки місцевих бюджетів, відкриті в органах Казначейства, згідно з розписом державного бюджету.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4" w:name="n137"/>
      <w:bookmarkEnd w:id="24"/>
      <w:r>
        <w:rPr>
          <w:lang w:val="uk" w:eastAsia="uk"/>
        </w:rPr>
        <w:t xml:space="preserve">Казначейство перераховує субвенцію відповідно до </w:t>
      </w:r>
      <w:hyperlink r:id="rId16" w:anchor="n10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перерахування міжбюджетних трансфертів</w:t>
        </w:r>
      </w:hyperlink>
      <w:r>
        <w:rPr>
          <w:lang w:val="uk" w:eastAsia="uk"/>
        </w:rPr>
        <w:t>, затвердженого постановою Кабінету Міністрів України від 15 грудня 2010 р. № 1132 (Офіційний вісник України, 2010 р., № 96, ст. 3399; 2015 р., № 7, ст. 161), і Порядку казначейського обслуговування державного бюджету за витратами, затвердженого Мінфіном.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5" w:name="n138"/>
      <w:bookmarkEnd w:id="25"/>
      <w:r>
        <w:rPr>
          <w:lang w:val="uk" w:eastAsia="uk"/>
        </w:rPr>
        <w:t>Казначейство інформує щомісяця до 10 числа Мінфін та МОН про обсяги перерахування субвенції, взятих бюджетних зобов’язань, бюджетних фінансових зобов’язань та касових видатків у розрізі місцевих бюджетів із зазначенням коду бюджету.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26" w:name="n130"/>
      <w:bookmarkEnd w:id="26"/>
      <w:r>
        <w:rPr>
          <w:rStyle w:val="spanrvts46"/>
          <w:b w:val="0"/>
          <w:bCs w:val="0"/>
          <w:i/>
          <w:iCs/>
          <w:lang w:val="uk" w:eastAsia="uk"/>
        </w:rPr>
        <w:t xml:space="preserve">{Пункт 5 в редакції Постанов КМ </w:t>
      </w:r>
      <w:hyperlink r:id="rId11" w:anchor="n21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396 від 09.04.2024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12" w:anchor="n1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7" w:name="n19"/>
      <w:bookmarkEnd w:id="27"/>
      <w:r>
        <w:rPr>
          <w:lang w:val="uk" w:eastAsia="uk"/>
        </w:rPr>
        <w:t>6. Закупівля послуг за рахунок субвенції здійснюється в установленому законом порядку.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28" w:name="n139"/>
      <w:bookmarkEnd w:id="28"/>
      <w:r>
        <w:rPr>
          <w:rStyle w:val="spanrvts46"/>
          <w:b w:val="0"/>
          <w:bCs w:val="0"/>
          <w:i/>
          <w:iCs/>
          <w:lang w:val="uk" w:eastAsia="uk"/>
        </w:rPr>
        <w:t xml:space="preserve">{Абзац перший пункту 6 із змінами, внесеними згідно з Постановою КМ </w:t>
      </w:r>
      <w:hyperlink r:id="rId12" w:anchor="n23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29" w:name="n20"/>
      <w:bookmarkEnd w:id="29"/>
      <w:r>
        <w:rPr>
          <w:rStyle w:val="spanrvts46"/>
          <w:b w:val="0"/>
          <w:bCs w:val="0"/>
          <w:i/>
          <w:iCs/>
          <w:lang w:val="uk" w:eastAsia="uk"/>
        </w:rPr>
        <w:t xml:space="preserve">{Абзац другий пункту 6 виключено на підставі Постанови КМ </w:t>
      </w:r>
      <w:hyperlink r:id="rId12" w:anchor="n24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0" w:name="n21"/>
      <w:bookmarkEnd w:id="30"/>
      <w:r>
        <w:rPr>
          <w:lang w:val="uk" w:eastAsia="uk"/>
        </w:rPr>
        <w:t>Додаткові психолого-педагогічні і корекційно-розвиткові заняття (послуги) проводяться (надаються) фахівцями (із числа працівників закладу освіти та у разі потреби - додатково залученими фахівцями), з якими заклад освіти або відповідний орган управління освітою укладають цивільно-правові договори (</w:t>
      </w:r>
      <w:hyperlink w:anchor="n63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додаток 3</w:t>
        </w:r>
      </w:hyperlink>
      <w:r>
        <w:rPr>
          <w:lang w:val="uk" w:eastAsia="uk"/>
        </w:rPr>
        <w:t xml:space="preserve">). Перелік фахівців, які можуть проводити (надавати) додаткові психолого-педагогічні і корекційно-розвиткові заняття (послуги), визначено у </w:t>
      </w:r>
      <w:hyperlink w:anchor="n83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додатку 5</w:t>
        </w:r>
      </w:hyperlink>
      <w:r>
        <w:rPr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31" w:name="n50"/>
      <w:bookmarkEnd w:id="31"/>
      <w:r>
        <w:rPr>
          <w:rStyle w:val="spanrvts46"/>
          <w:b w:val="0"/>
          <w:bCs w:val="0"/>
          <w:i/>
          <w:iCs/>
          <w:lang w:val="uk" w:eastAsia="uk"/>
        </w:rPr>
        <w:t xml:space="preserve">{Абзац третій пункту 6 в редакції Постанов КМ </w:t>
      </w:r>
      <w:hyperlink r:id="rId5" w:anchor="n16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7" w:anchor="n50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2" w:name="n22"/>
      <w:bookmarkEnd w:id="32"/>
      <w:r>
        <w:rPr>
          <w:lang w:val="uk" w:eastAsia="uk"/>
        </w:rPr>
        <w:t xml:space="preserve">Оплата праці зазначених фахівців за проведення (надання) додаткових психолого-педагогічних і корекційно-розвиткових занять (послуг) здійснюється за ставками погодинної оплати праці працівників усіх галузей економіки за проведення навчальних занять у розмірах, передбачених для доцента або кандидата наук, які проводять навчальні заняття з учнями шкіл, установленими в </w:t>
      </w:r>
      <w:hyperlink r:id="rId17" w:anchor="n9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додатку 5</w:t>
        </w:r>
      </w:hyperlink>
      <w:r>
        <w:rPr>
          <w:lang w:val="uk" w:eastAsia="uk"/>
        </w:rPr>
        <w:t xml:space="preserve"> до постанови Кабінету Міністрів України від 30 серпня 2002 р. № 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 (Офіційний вісник України, 2002 р., № 36, ст. 1699; 2005 р., № 40, ст. 2544), підвищеними на 20 відсотків за роботу з особами з особливими освітніми потребами.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33" w:name="n51"/>
      <w:bookmarkEnd w:id="33"/>
      <w:r>
        <w:rPr>
          <w:rStyle w:val="spanrvts46"/>
          <w:b w:val="0"/>
          <w:bCs w:val="0"/>
          <w:i/>
          <w:iCs/>
          <w:lang w:val="uk" w:eastAsia="uk"/>
        </w:rPr>
        <w:t xml:space="preserve">{Абзац четвертий пункту 6 із змінами, внесеними згідно з Постановою КМ </w:t>
      </w:r>
      <w:hyperlink r:id="rId5" w:anchor="n18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в редакції Постанови КМ </w:t>
      </w:r>
      <w:hyperlink r:id="rId7" w:anchor="n50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4" w:name="n53"/>
      <w:bookmarkEnd w:id="34"/>
      <w:r>
        <w:rPr>
          <w:lang w:val="uk" w:eastAsia="uk"/>
        </w:rPr>
        <w:t xml:space="preserve">Тривалість групових або індивідуальних корекційно-розвиткових занять для осіб з особливими освітніми потребами визначена у </w:t>
      </w:r>
      <w:hyperlink r:id="rId14" w:anchor="n1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організації інклюзивного навчання у закладах загальної середньої освіти</w:t>
        </w:r>
      </w:hyperlink>
      <w:r>
        <w:rPr>
          <w:lang w:val="uk" w:eastAsia="uk"/>
        </w:rPr>
        <w:t xml:space="preserve">, затвердженому постановою Кабінету Міністрів України від 15 вересня 2021 р. № 957 (Офіційний вісник України, 2021 р., № 76, ст. 4774), та </w:t>
      </w:r>
      <w:hyperlink r:id="rId15" w:anchor="n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організації інклюзивного навчання в закладах дошкільної освіти</w:t>
        </w:r>
      </w:hyperlink>
      <w:r>
        <w:rPr>
          <w:lang w:val="uk" w:eastAsia="uk"/>
        </w:rPr>
        <w:t>, затвердженому постановою Кабінету Міністрів України від 10 квітня 2019 р. № 530 (Офіційний вісник України, 2019 р., № 51, ст. 1735). Скорочена тривалість корекційно-розвиткових занять, встановлена для учнів з особливими освітніми потребами, не є підставою для зменшення оплати за їх проведення. Оплата праці фахівців за кожне корекційно-розвиткове заняття здійснюється за ставками погодинної оплати праці, визначеними в абзаці четвертому цього пункту.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35" w:name="n55"/>
      <w:bookmarkEnd w:id="35"/>
      <w:r>
        <w:rPr>
          <w:rStyle w:val="spanrvts46"/>
          <w:b w:val="0"/>
          <w:bCs w:val="0"/>
          <w:i/>
          <w:iCs/>
          <w:lang w:val="uk" w:eastAsia="uk"/>
        </w:rPr>
        <w:t xml:space="preserve">{Пункт 6 доповнено абзацом згідно з Постановою КМ </w:t>
      </w:r>
      <w:hyperlink r:id="rId5" w:anchor="n19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із змінами, внесеними згідно з Постановами КМ </w:t>
      </w:r>
      <w:hyperlink r:id="rId6" w:anchor="n2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88 від 21.02.2018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11" w:anchor="n26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396 від 09.04.2024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6" w:name="n54"/>
      <w:bookmarkEnd w:id="36"/>
      <w:r>
        <w:rPr>
          <w:lang w:val="uk" w:eastAsia="uk"/>
        </w:rPr>
        <w:t>Оплата за проведені (надані) додаткові психолого-педагогічні і корекційно-розвиткові заняття (послуги) здійснюється щомісяця на підставі актів приймання проведених (наданих) додаткових психолого-педагогічних і корекційно-розвиткових занять (послуг) (</w:t>
      </w:r>
      <w:hyperlink w:anchor="n65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додаток 4</w:t>
        </w:r>
      </w:hyperlink>
      <w:r>
        <w:rPr>
          <w:lang w:val="uk" w:eastAsia="uk"/>
        </w:rPr>
        <w:t>).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37" w:name="n52"/>
      <w:bookmarkEnd w:id="37"/>
      <w:r>
        <w:rPr>
          <w:rStyle w:val="spanrvts46"/>
          <w:b w:val="0"/>
          <w:bCs w:val="0"/>
          <w:i/>
          <w:iCs/>
          <w:lang w:val="uk" w:eastAsia="uk"/>
        </w:rPr>
        <w:t xml:space="preserve">{Пункт 6 доповнено абзацом згідно з Постановою КМ </w:t>
      </w:r>
      <w:hyperlink r:id="rId5" w:anchor="n19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із змінами, внесеними згідно з Постановою КМ </w:t>
      </w:r>
      <w:hyperlink r:id="rId7" w:anchor="n53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8" w:name="n23"/>
      <w:bookmarkEnd w:id="38"/>
      <w:r>
        <w:rPr>
          <w:rStyle w:val="spanrvts11"/>
          <w:b w:val="0"/>
          <w:bCs w:val="0"/>
          <w:i/>
          <w:iCs/>
          <w:lang w:val="uk" w:eastAsia="uk"/>
        </w:rPr>
        <w:t xml:space="preserve">{Пункт 7 виключено на підставі Постанови КМ </w:t>
      </w:r>
      <w:hyperlink r:id="rId8" w:anchor="n25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152 від 26.02.2020</w:t>
        </w:r>
      </w:hyperlink>
      <w:r>
        <w:rPr>
          <w:rStyle w:val="spanrvts11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9" w:name="n24"/>
      <w:bookmarkEnd w:id="39"/>
      <w:r>
        <w:rPr>
          <w:lang w:val="uk" w:eastAsia="uk"/>
        </w:rPr>
        <w:t>8. Відображення у первинному та бухгалтерському обліку інформації про отримані (створені) оборотні і необоротні активи, а також відкриття та закриття рахунків, реєстрація, облік бюджетних зобов’язань в органах Казначейства та операції, пов’язані з використанням субвенції, здійснюються в установленому законодавством порядку.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40" w:name="n140"/>
      <w:bookmarkEnd w:id="40"/>
      <w:r>
        <w:rPr>
          <w:rStyle w:val="spanrvts46"/>
          <w:b w:val="0"/>
          <w:bCs w:val="0"/>
          <w:i/>
          <w:iCs/>
          <w:lang w:val="uk" w:eastAsia="uk"/>
        </w:rPr>
        <w:t xml:space="preserve">{Пункт 8 із змінами, внесеними згідно з Постановою КМ </w:t>
      </w:r>
      <w:hyperlink r:id="rId12" w:anchor="n25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1" w:name="n25"/>
      <w:bookmarkEnd w:id="41"/>
      <w:r>
        <w:rPr>
          <w:lang w:val="uk" w:eastAsia="uk"/>
        </w:rPr>
        <w:t>9. Обласні та Київська міська держадміністрації (військові адміністрації) подають щомісяця до 10 числа МОН інформацію про використання субвенції (</w:t>
      </w:r>
      <w:hyperlink w:anchor="n41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додаток 2</w:t>
        </w:r>
      </w:hyperlink>
      <w:r>
        <w:rPr>
          <w:lang w:val="uk" w:eastAsia="uk"/>
        </w:rPr>
        <w:t>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2" w:name="n142"/>
      <w:bookmarkEnd w:id="42"/>
      <w:r>
        <w:rPr>
          <w:lang w:val="uk" w:eastAsia="uk"/>
        </w:rPr>
        <w:t>МОН щомісяця до 30 числа кожного місяця інформує Мінфін про використання субвенції.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43" w:name="n141"/>
      <w:bookmarkEnd w:id="43"/>
      <w:r>
        <w:rPr>
          <w:rStyle w:val="spanrvts46"/>
          <w:b w:val="0"/>
          <w:bCs w:val="0"/>
          <w:i/>
          <w:iCs/>
          <w:lang w:val="uk" w:eastAsia="uk"/>
        </w:rPr>
        <w:t xml:space="preserve">{Пункт 9 із змінами, внесеними згідно з </w:t>
      </w:r>
      <w:r>
        <w:rPr>
          <w:rStyle w:val="spanrvts11"/>
          <w:b w:val="0"/>
          <w:bCs w:val="0"/>
          <w:i/>
          <w:iCs/>
          <w:lang w:val="uk" w:eastAsia="uk"/>
        </w:rPr>
        <w:t xml:space="preserve">Постановами КМ </w:t>
      </w:r>
      <w:hyperlink r:id="rId5" w:anchor="n22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11"/>
          <w:b w:val="0"/>
          <w:bCs w:val="0"/>
          <w:i/>
          <w:iCs/>
          <w:lang w:val="uk" w:eastAsia="uk"/>
        </w:rPr>
        <w:t xml:space="preserve">, </w:t>
      </w:r>
      <w:hyperlink r:id="rId8" w:anchor="n26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152 від 26.02.2020</w:t>
        </w:r>
      </w:hyperlink>
      <w:r>
        <w:rPr>
          <w:rStyle w:val="spanrvts11"/>
          <w:b w:val="0"/>
          <w:bCs w:val="0"/>
          <w:i/>
          <w:iCs/>
          <w:lang w:val="uk" w:eastAsia="uk"/>
        </w:rPr>
        <w:t xml:space="preserve">; </w:t>
      </w:r>
      <w:r>
        <w:rPr>
          <w:rStyle w:val="spanrvts46"/>
          <w:b w:val="0"/>
          <w:bCs w:val="0"/>
          <w:i/>
          <w:iCs/>
          <w:lang w:val="uk" w:eastAsia="uk"/>
        </w:rPr>
        <w:t xml:space="preserve">в редакції Постанови КМ </w:t>
      </w:r>
      <w:hyperlink r:id="rId12" w:anchor="n26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4" w:name="n27"/>
      <w:bookmarkEnd w:id="44"/>
      <w:r>
        <w:rPr>
          <w:lang w:val="uk" w:eastAsia="uk"/>
        </w:rPr>
        <w:t>10. Складення і подання фінансової та бюджетної звітності про використання субвенції, а також контроль і відповідальність за її цільовим використанням та подання інформації здійснюються в установленому законодавством порядку.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5" w:name="n76"/>
      <w:bookmarkEnd w:id="45"/>
      <w:r>
        <w:rPr>
          <w:lang w:val="uk" w:eastAsia="uk"/>
        </w:rPr>
        <w:t>11. Залишки коштів за субвенцією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46" w:name="n75"/>
      <w:bookmarkEnd w:id="46"/>
      <w:r>
        <w:rPr>
          <w:rStyle w:val="spanrvts46"/>
          <w:b w:val="0"/>
          <w:bCs w:val="0"/>
          <w:i/>
          <w:iCs/>
          <w:lang w:val="uk" w:eastAsia="uk"/>
        </w:rPr>
        <w:t xml:space="preserve">{Порядок та умови доповнено пунктом 11 згідно з Постановою КМ </w:t>
      </w:r>
      <w:hyperlink r:id="rId7" w:anchor="n54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із змінами, внесеними згідно з Постановою КМ </w:t>
      </w:r>
      <w:hyperlink r:id="rId8" w:anchor="n28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152 від 26.02.2020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в редакції Постанов КМ </w:t>
      </w:r>
      <w:hyperlink r:id="rId11" w:anchor="n2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396 від 09.04.2024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12" w:anchor="n29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7" w:name="n122"/>
      <w:bookmarkEnd w:id="47"/>
      <w:r>
        <w:rPr>
          <w:lang w:val="uk" w:eastAsia="uk"/>
        </w:rPr>
        <w:t>12. Відповідні місцеві ради мають право: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8" w:name="n123"/>
      <w:bookmarkEnd w:id="48"/>
      <w:r>
        <w:rPr>
          <w:lang w:val="uk" w:eastAsia="uk"/>
        </w:rPr>
        <w:t>передавати кошти субвенції та залишки субвенції минулих років у вигляді міжбюджетного трансферту іншим місцевим бюджетам;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9" w:name="n124"/>
      <w:bookmarkEnd w:id="49"/>
      <w:r>
        <w:rPr>
          <w:lang w:val="uk" w:eastAsia="uk"/>
        </w:rPr>
        <w:t>перерозподіляти у межах відповідного місцевого бюджету кошти субвенції між відповідними типами закладів для забезпечення підтримки осіб з особливими освітніми потребами в повному обсязі.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50" w:name="n125"/>
      <w:bookmarkEnd w:id="50"/>
      <w:r>
        <w:rPr>
          <w:rStyle w:val="spanrvts46"/>
          <w:b w:val="0"/>
          <w:bCs w:val="0"/>
          <w:i/>
          <w:iCs/>
          <w:lang w:val="uk" w:eastAsia="uk"/>
        </w:rPr>
        <w:t xml:space="preserve">{Порядок та умови доповнено пунктом 12 згідно з Постановою КМ </w:t>
      </w:r>
      <w:hyperlink r:id="rId8" w:anchor="n32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152 від 26.02.2020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450"/>
        <w:jc w:val="both"/>
        <w:rPr>
          <w:lang w:val="uk" w:eastAsia="uk"/>
        </w:rPr>
      </w:pPr>
      <w:r>
        <w:pict>
          <v:rect id="_x0000_i1026" style="width:0;height:0.75pt" o:hrpct="0" o:hrstd="t" o:hr="t" filled="t" fillcolor="gray" stroked="f">
            <v:path strokeok="f"/>
          </v:rect>
        </w:pict>
      </w:r>
      <w:bookmarkStart w:id="51" w:name="n45"/>
      <w:bookmarkEnd w:id="51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52" w:name="n28"/>
            <w:bookmarkEnd w:id="52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1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Порядку та умов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53" w:name="n29"/>
      <w:bookmarkEnd w:id="53"/>
      <w:r>
        <w:rPr>
          <w:rStyle w:val="spanrvts15"/>
          <w:b/>
          <w:bCs/>
          <w:i w:val="0"/>
          <w:iCs w:val="0"/>
          <w:lang w:val="uk" w:eastAsia="uk"/>
        </w:rPr>
        <w:t xml:space="preserve">ПРИМІРНИЙ ПЕРЕЛІК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додаткових психолого-педагогічних і корекційно-розвиткових занять (послуг) для осіб з особливими освітніми потребами у закладах освіти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4" w:name="n30"/>
      <w:bookmarkEnd w:id="54"/>
      <w:r>
        <w:rPr>
          <w:lang w:val="uk" w:eastAsia="uk"/>
        </w:rPr>
        <w:t>Ритміка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5" w:name="n31"/>
      <w:bookmarkEnd w:id="55"/>
      <w:r>
        <w:rPr>
          <w:lang w:val="uk" w:eastAsia="uk"/>
        </w:rPr>
        <w:t>Розвиток мовлення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6" w:name="n32"/>
      <w:bookmarkEnd w:id="56"/>
      <w:r>
        <w:rPr>
          <w:lang w:val="uk" w:eastAsia="uk"/>
        </w:rPr>
        <w:t>Лікувальна фізкультура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7" w:name="n33"/>
      <w:bookmarkEnd w:id="57"/>
      <w:r>
        <w:rPr>
          <w:lang w:val="uk" w:eastAsia="uk"/>
        </w:rPr>
        <w:t>Соціально-побутове орієнтування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8" w:name="n34"/>
      <w:bookmarkEnd w:id="58"/>
      <w:r>
        <w:rPr>
          <w:lang w:val="uk" w:eastAsia="uk"/>
        </w:rPr>
        <w:t>Корекція розвитку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9" w:name="n35"/>
      <w:bookmarkEnd w:id="59"/>
      <w:r>
        <w:rPr>
          <w:lang w:val="uk" w:eastAsia="uk"/>
        </w:rPr>
        <w:t>Орієнтування у просторі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0" w:name="n36"/>
      <w:bookmarkEnd w:id="60"/>
      <w:r>
        <w:rPr>
          <w:lang w:val="uk" w:eastAsia="uk"/>
        </w:rPr>
        <w:t>Розвиток слухового, зорового, тактильного сприймання мовлення та формування вимови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1" w:name="n37"/>
      <w:bookmarkEnd w:id="61"/>
      <w:r>
        <w:rPr>
          <w:lang w:val="uk" w:eastAsia="uk"/>
        </w:rPr>
        <w:t>Корекція зору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2" w:name="n38"/>
      <w:bookmarkEnd w:id="62"/>
      <w:r>
        <w:rPr>
          <w:lang w:val="uk" w:eastAsia="uk"/>
        </w:rPr>
        <w:t>Корекція та розвиток психофізичних функцій, використання елементів: кінезіотерапії, анімалотерапії (іпо-, каніс-, феліно-, орніто-), арт-терапії (ізо-, драмо-, казко-, музико-, кіно-, піско-, ігро-, мульт-, фото-, кольоро-, пластилінової, танцювальної терапії, психогімнастики), працетерапії, ерготерапії, ароматерапії, Монтессорі-терапії тощо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3" w:name="n57"/>
      <w:bookmarkEnd w:id="63"/>
      <w:r>
        <w:rPr>
          <w:lang w:val="uk" w:eastAsia="uk"/>
        </w:rPr>
        <w:t>Логоритміка та інші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64" w:name="n56"/>
      <w:bookmarkEnd w:id="64"/>
      <w:r>
        <w:rPr>
          <w:rStyle w:val="spanrvts46"/>
          <w:b w:val="0"/>
          <w:bCs w:val="0"/>
          <w:i/>
          <w:iCs/>
          <w:lang w:val="uk" w:eastAsia="uk"/>
        </w:rPr>
        <w:t xml:space="preserve">{Додаток 1 із змінами, внесеними згідно з Постановами КМ </w:t>
      </w:r>
      <w:hyperlink r:id="rId5" w:anchor="n24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7" w:anchor="n5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450"/>
        <w:jc w:val="both"/>
        <w:rPr>
          <w:lang w:val="uk" w:eastAsia="uk"/>
        </w:rPr>
      </w:pPr>
      <w:r>
        <w:pict>
          <v:rect id="_x0000_i1027" style="width:0;height:0.75pt" o:hrpct="0" o:hrstd="t" o:hr="t" filled="t" fillcolor="gray" stroked="f">
            <v:path strokeok="f"/>
          </v:rect>
        </w:pict>
      </w:r>
      <w:bookmarkStart w:id="65" w:name="n46"/>
      <w:bookmarkEnd w:id="65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66" w:name="n40"/>
            <w:bookmarkEnd w:id="66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2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до Порядку та умов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(в редакції постанови Кабінету Міністрів України </w:t>
            </w:r>
            <w:r>
              <w:rPr>
                <w:lang w:val="uk" w:eastAsia="uk"/>
              </w:rPr>
              <w:br/>
            </w:r>
            <w:hyperlink r:id="rId12" w:anchor="n33" w:tgtFrame="_blank" w:history="1">
              <w:r>
                <w:rPr>
                  <w:rStyle w:val="arvts96"/>
                  <w:b w:val="0"/>
                  <w:bCs w:val="0"/>
                  <w:i w:val="0"/>
                  <w:iCs w:val="0"/>
                  <w:lang w:val="uk" w:eastAsia="uk"/>
                </w:rPr>
                <w:t>від 27 грудня 2024 р. № 1519</w:t>
              </w:r>
            </w:hyperlink>
            <w:r>
              <w:rPr>
                <w:lang w:val="uk" w:eastAsia="uk"/>
              </w:rPr>
              <w:t>)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67" w:name="n41"/>
      <w:bookmarkEnd w:id="67"/>
      <w:hyperlink r:id="rId18" w:history="1">
        <w:r>
          <w:rPr>
            <w:rStyle w:val="arvts103"/>
            <w:b/>
            <w:bCs/>
            <w:i w:val="0"/>
            <w:iCs w:val="0"/>
            <w:lang w:val="uk" w:eastAsia="uk"/>
          </w:rPr>
          <w:t>ІНФОРМАЦІЯ</w:t>
        </w:r>
      </w:hyperlink>
      <w:r>
        <w:rPr>
          <w:rStyle w:val="spanrvts15"/>
          <w:b/>
          <w:bCs/>
          <w:i w:val="0"/>
          <w:iCs w:val="0"/>
          <w:lang w:val="uk" w:eastAsia="uk"/>
        </w:rPr>
        <w:t xml:space="preserve">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щодо використання субвенції з державного бюджету місцевим бюджетам на надання державної підтримки особам з особливими освітніми потребами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68" w:name="n58"/>
      <w:bookmarkEnd w:id="68"/>
      <w:r>
        <w:rPr>
          <w:rStyle w:val="spanrvts46"/>
          <w:b w:val="0"/>
          <w:bCs w:val="0"/>
          <w:i/>
          <w:iCs/>
          <w:lang w:val="uk" w:eastAsia="uk"/>
        </w:rPr>
        <w:t xml:space="preserve">{Додаток 2 із змінами, внесеними згідно з Постановою КМ </w:t>
      </w:r>
      <w:hyperlink r:id="rId5" w:anchor="n34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в редакції Постанов КМ </w:t>
      </w:r>
      <w:hyperlink r:id="rId6" w:anchor="n28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88 від 21.02.2018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7" w:anchor="n59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8" w:anchor="n38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152 від 26.02.2020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9" w:anchor="n15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477 від 17.05.2021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, </w:t>
      </w:r>
      <w:hyperlink r:id="rId12" w:anchor="n31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1519 від 27.12.2024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69" w:name="n62"/>
            <w:bookmarkEnd w:id="69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3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Порядку та умов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70" w:name="n63"/>
      <w:bookmarkEnd w:id="70"/>
      <w:hyperlink r:id="rId19" w:history="1">
        <w:r>
          <w:rPr>
            <w:rStyle w:val="arvts103"/>
            <w:b/>
            <w:bCs/>
            <w:i w:val="0"/>
            <w:iCs w:val="0"/>
            <w:lang w:val="uk" w:eastAsia="uk"/>
          </w:rPr>
          <w:t>ТИПОВИЙ ДОГОВІР</w:t>
        </w:r>
      </w:hyperlink>
      <w:r>
        <w:rPr>
          <w:rStyle w:val="spanrvts15"/>
          <w:b/>
          <w:bCs/>
          <w:i w:val="0"/>
          <w:iCs w:val="0"/>
          <w:lang w:val="uk" w:eastAsia="uk"/>
        </w:rPr>
        <w:t xml:space="preserve">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на проведення (надання) психолого-педагогічних і корекційно-розвиткових занять (послуг)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71" w:name="n66"/>
      <w:bookmarkEnd w:id="71"/>
      <w:r>
        <w:rPr>
          <w:rStyle w:val="spanrvts46"/>
          <w:b w:val="0"/>
          <w:bCs w:val="0"/>
          <w:i/>
          <w:iCs/>
          <w:lang w:val="uk" w:eastAsia="uk"/>
        </w:rPr>
        <w:t xml:space="preserve">{Порядок та умови доповнено додатком 3 згідно з Постановою КМ </w:t>
      </w:r>
      <w:hyperlink r:id="rId5" w:anchor="n3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із змінами, внесеними згідно з Постановою КМ </w:t>
      </w:r>
      <w:hyperlink r:id="rId7" w:anchor="n64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2" w:name="n67"/>
      <w:bookmarkEnd w:id="72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73" w:name="n64"/>
            <w:bookmarkEnd w:id="73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4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Порядку та умов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74" w:name="n65"/>
      <w:bookmarkEnd w:id="74"/>
      <w:hyperlink r:id="rId20" w:history="1">
        <w:r>
          <w:rPr>
            <w:rStyle w:val="arvts103"/>
            <w:b/>
            <w:bCs/>
            <w:i w:val="0"/>
            <w:iCs w:val="0"/>
            <w:lang w:val="uk" w:eastAsia="uk"/>
          </w:rPr>
          <w:t>АКТ</w:t>
        </w:r>
      </w:hyperlink>
      <w:r>
        <w:rPr>
          <w:rStyle w:val="spanrvts15"/>
          <w:b/>
          <w:bCs/>
          <w:i w:val="0"/>
          <w:iCs w:val="0"/>
          <w:lang w:val="uk" w:eastAsia="uk"/>
        </w:rPr>
        <w:t xml:space="preserve">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приймання проведених (наданих) психолого-педагогічних і корекційно-розвиткових занять (послуг)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75" w:name="n59"/>
      <w:bookmarkEnd w:id="75"/>
      <w:r>
        <w:rPr>
          <w:rStyle w:val="spanrvts46"/>
          <w:b w:val="0"/>
          <w:bCs w:val="0"/>
          <w:i/>
          <w:iCs/>
          <w:lang w:val="uk" w:eastAsia="uk"/>
        </w:rPr>
        <w:t xml:space="preserve">{Порядок та умови доповнено додатком 4 згідно з Постановою КМ </w:t>
      </w:r>
      <w:hyperlink r:id="rId5" w:anchor="n37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863 від 15.11.2017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 xml:space="preserve">; із змінами, внесеними згідно з Постановою КМ </w:t>
      </w:r>
      <w:hyperlink r:id="rId7" w:anchor="n71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450"/>
        <w:jc w:val="both"/>
        <w:rPr>
          <w:lang w:val="uk" w:eastAsia="uk"/>
        </w:rPr>
      </w:pPr>
      <w:r>
        <w:pict>
          <v:rect id="_x0000_i1028" style="width:0;height:0.75pt" o:hrpct="0" o:hrstd="t" o:hr="t" filled="t" fillcolor="gray" stroked="f">
            <v:path strokeok="f"/>
          </v:rect>
        </w:pict>
      </w:r>
      <w:bookmarkStart w:id="76" w:name="n144"/>
      <w:bookmarkEnd w:id="76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353"/>
        <w:gridCol w:w="500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77" w:name="n81"/>
            <w:bookmarkEnd w:id="77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3"/>
              <w:spacing w:before="0" w:after="150"/>
              <w:ind w:left="450" w:right="4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5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до Порядку та умов</w:t>
            </w:r>
          </w:p>
        </w:tc>
      </w:tr>
    </w:tbl>
    <w:p>
      <w:pPr>
        <w:pStyle w:val="rvps7"/>
        <w:spacing w:before="150" w:after="150"/>
        <w:ind w:left="450" w:right="450"/>
        <w:rPr>
          <w:lang w:val="uk" w:eastAsia="uk"/>
        </w:rPr>
      </w:pPr>
      <w:bookmarkStart w:id="78" w:name="n83"/>
      <w:bookmarkEnd w:id="78"/>
      <w:r>
        <w:rPr>
          <w:rStyle w:val="spanrvts15"/>
          <w:b/>
          <w:bCs/>
          <w:i w:val="0"/>
          <w:iCs w:val="0"/>
          <w:lang w:val="uk" w:eastAsia="uk"/>
        </w:rPr>
        <w:t xml:space="preserve">ПЕРЕЛІК ФАХІВЦІВ,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які проводять (надають) додаткові психолого-педагогічні і корекційно-розвиткові заняття (послуги) з особами з особливими освітніми потребами у закладах освіти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9" w:name="n84"/>
      <w:bookmarkEnd w:id="79"/>
      <w:r>
        <w:rPr>
          <w:lang w:val="uk" w:eastAsia="uk"/>
        </w:rPr>
        <w:t>Фахівці, що здобули відповідний ступінь вищої освіти (освітньо-кваліфікаційний рівень) у галузі знань: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0" w:name="n85"/>
      <w:bookmarkEnd w:id="80"/>
      <w:r>
        <w:rPr>
          <w:lang w:val="uk" w:eastAsia="uk"/>
        </w:rPr>
        <w:t>01 Освіта/Педагогіка за спеціальностями: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1" w:name="n86"/>
      <w:bookmarkEnd w:id="81"/>
      <w:r>
        <w:rPr>
          <w:lang w:val="uk" w:eastAsia="uk"/>
        </w:rPr>
        <w:t>012 Дошкільна освіта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2" w:name="n87"/>
      <w:bookmarkEnd w:id="82"/>
      <w:r>
        <w:rPr>
          <w:lang w:val="uk" w:eastAsia="uk"/>
        </w:rPr>
        <w:t>013 Початкова освіта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3" w:name="n88"/>
      <w:bookmarkEnd w:id="83"/>
      <w:r>
        <w:rPr>
          <w:lang w:val="uk" w:eastAsia="uk"/>
        </w:rPr>
        <w:t>016 Спеціальна освіта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4" w:name="n89"/>
      <w:bookmarkEnd w:id="84"/>
      <w:r>
        <w:rPr>
          <w:lang w:val="uk" w:eastAsia="uk"/>
        </w:rPr>
        <w:t>017 Фізична культура і спорт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5" w:name="n90"/>
      <w:bookmarkEnd w:id="85"/>
      <w:r>
        <w:rPr>
          <w:lang w:val="uk" w:eastAsia="uk"/>
        </w:rPr>
        <w:t>02 Культура і мистецтво: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6" w:name="n91"/>
      <w:bookmarkEnd w:id="86"/>
      <w:r>
        <w:rPr>
          <w:lang w:val="uk" w:eastAsia="uk"/>
        </w:rPr>
        <w:t>024 Хореографія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7" w:name="n92"/>
      <w:bookmarkEnd w:id="87"/>
      <w:r>
        <w:rPr>
          <w:lang w:val="uk" w:eastAsia="uk"/>
        </w:rPr>
        <w:t>025 Музичне мистецтво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8" w:name="n93"/>
      <w:bookmarkEnd w:id="88"/>
      <w:r>
        <w:rPr>
          <w:lang w:val="uk" w:eastAsia="uk"/>
        </w:rPr>
        <w:t>05 Соціальні та поведінкові науки за спеціальністю: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9" w:name="n94"/>
      <w:bookmarkEnd w:id="89"/>
      <w:r>
        <w:rPr>
          <w:lang w:val="uk" w:eastAsia="uk"/>
        </w:rPr>
        <w:t>053 Психологія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0" w:name="n95"/>
      <w:bookmarkEnd w:id="90"/>
      <w:r>
        <w:rPr>
          <w:lang w:val="uk" w:eastAsia="uk"/>
        </w:rPr>
        <w:t>22 Охорона здоров’я за спеціальністю: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1" w:name="n96"/>
      <w:bookmarkEnd w:id="91"/>
      <w:r>
        <w:rPr>
          <w:lang w:val="uk" w:eastAsia="uk"/>
        </w:rPr>
        <w:t>227 Фізична терапія, ерготерапія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2" w:name="n97"/>
      <w:bookmarkEnd w:id="92"/>
      <w:r>
        <w:rPr>
          <w:lang w:val="uk" w:eastAsia="uk"/>
        </w:rPr>
        <w:t>Та/або фахівці, що мають професійну кваліфікацію: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3" w:name="n98"/>
      <w:bookmarkEnd w:id="93"/>
      <w:r>
        <w:rPr>
          <w:lang w:val="uk" w:eastAsia="uk"/>
        </w:rPr>
        <w:t>2229.2 Ерготерапевт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4" w:name="n99"/>
      <w:bookmarkEnd w:id="94"/>
      <w:r>
        <w:rPr>
          <w:lang w:val="uk" w:eastAsia="uk"/>
        </w:rPr>
        <w:t>2229.2 Лікар з лікувальної фізкультури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5" w:name="n100"/>
      <w:bookmarkEnd w:id="95"/>
      <w:r>
        <w:rPr>
          <w:lang w:val="uk" w:eastAsia="uk"/>
        </w:rPr>
        <w:t>2229.2 Лікар з лікувальної фізкультури та спортивної медицини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6" w:name="n101"/>
      <w:bookmarkEnd w:id="96"/>
      <w:r>
        <w:rPr>
          <w:lang w:val="uk" w:eastAsia="uk"/>
        </w:rPr>
        <w:t>2331 Вчителі початкової школи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7" w:name="n102"/>
      <w:bookmarkEnd w:id="97"/>
      <w:r>
        <w:rPr>
          <w:lang w:val="uk" w:eastAsia="uk"/>
        </w:rPr>
        <w:t>2332 Вихователі дошкільних закладів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8" w:name="n103"/>
      <w:bookmarkEnd w:id="98"/>
      <w:r>
        <w:rPr>
          <w:lang w:val="uk" w:eastAsia="uk"/>
        </w:rPr>
        <w:t>2340 Вчитель з корекційної освіти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9" w:name="n104"/>
      <w:bookmarkEnd w:id="99"/>
      <w:r>
        <w:rPr>
          <w:lang w:val="uk" w:eastAsia="uk"/>
        </w:rPr>
        <w:t>2340 Вчитель-дефектолог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0" w:name="n105"/>
      <w:bookmarkEnd w:id="100"/>
      <w:r>
        <w:rPr>
          <w:lang w:val="uk" w:eastAsia="uk"/>
        </w:rPr>
        <w:t>2340 Вчитель-логопед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1" w:name="n106"/>
      <w:bookmarkEnd w:id="101"/>
      <w:r>
        <w:rPr>
          <w:lang w:val="uk" w:eastAsia="uk"/>
        </w:rPr>
        <w:t>2340 Вчитель-реабілітолог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2" w:name="n107"/>
      <w:bookmarkEnd w:id="102"/>
      <w:r>
        <w:rPr>
          <w:lang w:val="uk" w:eastAsia="uk"/>
        </w:rPr>
        <w:t>2445.2 Практичний психолог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3" w:name="n108"/>
      <w:bookmarkEnd w:id="103"/>
      <w:r>
        <w:rPr>
          <w:lang w:val="uk" w:eastAsia="uk"/>
        </w:rPr>
        <w:t>2445.2 Психолог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4" w:name="n109"/>
      <w:bookmarkEnd w:id="104"/>
      <w:r>
        <w:rPr>
          <w:lang w:val="uk" w:eastAsia="uk"/>
        </w:rPr>
        <w:t>3226 Інструктор з трудової адаптації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5" w:name="n110"/>
      <w:bookmarkEnd w:id="105"/>
      <w:r>
        <w:rPr>
          <w:lang w:val="uk" w:eastAsia="uk"/>
        </w:rPr>
        <w:t>3226 Інструктор з трудової терапії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06" w:name="n111"/>
      <w:bookmarkEnd w:id="106"/>
      <w:r>
        <w:rPr>
          <w:lang w:val="uk" w:eastAsia="uk"/>
        </w:rPr>
        <w:t>3226 Фахівець з фізичної реабілітації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107" w:name="n112"/>
      <w:bookmarkEnd w:id="107"/>
      <w:r>
        <w:rPr>
          <w:rStyle w:val="spanrvts46"/>
          <w:b w:val="0"/>
          <w:bCs w:val="0"/>
          <w:i/>
          <w:iCs/>
          <w:lang w:val="uk" w:eastAsia="uk"/>
        </w:rPr>
        <w:t xml:space="preserve">{Порядок та умови доповнено додатком 5 згідно з Постановою КМ </w:t>
      </w:r>
      <w:hyperlink r:id="rId7" w:anchor="n74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129 від 27.02.2019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Постанова Кабінету Міністрів України; Порядок, Умови, Перелік, Форма типового документа, Інформація, Договір, Акт від 14.02.2017 № 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Редакція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01.01.2025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, підстава — </w:t>
            </w:r>
            <w:hyperlink r:id="rId12" w:tgtFrame="_blank" w:history="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 w:color="0000EE"/>
                  <w:lang w:val="uk" w:eastAsia="uk"/>
                </w:rPr>
                <w:t>1519-2024-п</w:t>
              </w:r>
            </w:hyperlink>
            <w:r>
              <w:rPr>
                <w:rFonts w:ascii="Times New Roman" w:eastAsia="Times New Roman" w:hAnsi="Times New Roman" w:cs="Times New Roman"/>
                <w:color w:val="0000EE"/>
                <w:sz w:val="20"/>
                <w:szCs w:val="20"/>
                <w:u w:val="single" w:color="0000EE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https://zakon.rada.gov.ua/go/88-2017-%D0%BF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02.09.2025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49250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br/>
      </w:r>
      <w:r>
        <w:pict>
          <v:rect id="_x0000_i1029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Документи та файли</w:t>
      </w:r>
    </w:p>
    <w:p>
      <w:pPr>
        <w:numPr>
          <w:ilvl w:val="0"/>
          <w:numId w:val="1"/>
        </w:numPr>
        <w:spacing w:before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18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f464853n143.docx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13.01.25 16:45, 15 кб</w:t>
      </w:r>
    </w:p>
    <w:p>
      <w:pPr>
        <w:numPr>
          <w:ilvl w:val="0"/>
          <w:numId w:val="1"/>
        </w:numPr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19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f464853n113.doc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13.03.19 17:35, 56 кб</w:t>
      </w:r>
    </w:p>
    <w:p>
      <w:pPr>
        <w:numPr>
          <w:ilvl w:val="0"/>
          <w:numId w:val="1"/>
        </w:numPr>
        <w:spacing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20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f464853n79.doc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07.03.19 12:25, 44 кб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  <w:r>
        <w:pict>
          <v:rect id="_x0000_i1030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Публікації документа</w:t>
      </w:r>
    </w:p>
    <w:p>
      <w:pPr>
        <w:numPr>
          <w:ilvl w:val="0"/>
          <w:numId w:val="2"/>
        </w:numPr>
        <w:spacing w:before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Урядовий кур'єр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28.02.2017 — № 39</w:t>
      </w:r>
    </w:p>
    <w:p>
      <w:pPr>
        <w:numPr>
          <w:ilvl w:val="0"/>
          <w:numId w:val="2"/>
        </w:numPr>
        <w:spacing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Офіційний вісник України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07.03.2017 — 2017 р., № 19, стор. 20, стаття 531, код акта 85069/2017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rvps8">
    <w:name w:val="rvps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both"/>
    </w:pPr>
  </w:style>
  <w:style w:type="paragraph" w:customStyle="1" w:styleId="rvps7">
    <w:name w:val="rvps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7">
    <w:name w:val="rvps1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tLeast"/>
      <w:ind w:firstLine="0"/>
      <w:jc w:val="center"/>
    </w:pPr>
  </w:style>
  <w:style w:type="character" w:customStyle="1" w:styleId="spanrvts23">
    <w:name w:val="span_rvts23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TableNormal"/>
    <w:tblPr/>
  </w:style>
  <w:style w:type="paragraph" w:customStyle="1" w:styleId="rvps6">
    <w:name w:val="rvps6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8">
    <w:name w:val="rvps1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character" w:customStyle="1" w:styleId="arvts96">
    <w:name w:val="a_rvts9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450"/>
      <w:jc w:val="both"/>
    </w:pPr>
  </w:style>
  <w:style w:type="character" w:customStyle="1" w:styleId="spanrvts52">
    <w:name w:val="span_rvts52"/>
    <w:basedOn w:val="DefaultParagraphFont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44">
    <w:name w:val="span_rvts4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break">
    <w:name w:val="break"/>
    <w:basedOn w:val="Normal"/>
    <w:pPr>
      <w:pageBreakBefore/>
    </w:pPr>
  </w:style>
  <w:style w:type="paragraph" w:customStyle="1" w:styleId="rvps14">
    <w:name w:val="rvps1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paragraph" w:customStyle="1" w:styleId="rvps12">
    <w:name w:val="rvps1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46">
    <w:name w:val="span_rvts46"/>
    <w:basedOn w:val="DefaultParagraphFont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DefaultParagraphFont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11">
    <w:name w:val="span_rvts11"/>
    <w:basedOn w:val="DefaultParagraphFont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15">
    <w:name w:val="span_rvts15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arvts103">
    <w:name w:val="a_rvts103"/>
    <w:basedOn w:val="DefaultParagraphFont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paragraph" w:customStyle="1" w:styleId="rvps3">
    <w:name w:val="rvps3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zakon.rada.gov.ua/laws/show/365-2022-%D0%BF" TargetMode="External" /><Relationship Id="rId11" Type="http://schemas.openxmlformats.org/officeDocument/2006/relationships/hyperlink" Target="https://zakon.rada.gov.ua/laws/show/396-2024-%D0%BF" TargetMode="External" /><Relationship Id="rId12" Type="http://schemas.openxmlformats.org/officeDocument/2006/relationships/hyperlink" Target="https://zakon.rada.gov.ua/laws/show/1519-2024-%D0%BF" TargetMode="External" /><Relationship Id="rId13" Type="http://schemas.openxmlformats.org/officeDocument/2006/relationships/hyperlink" Target="https://zakon.rada.gov.ua/laws/show/2456-17" TargetMode="External" /><Relationship Id="rId14" Type="http://schemas.openxmlformats.org/officeDocument/2006/relationships/hyperlink" Target="https://zakon.rada.gov.ua/laws/show/957-2021-%D0%BF" TargetMode="External" /><Relationship Id="rId15" Type="http://schemas.openxmlformats.org/officeDocument/2006/relationships/hyperlink" Target="https://zakon.rada.gov.ua/laws/show/530-2019-%D0%BF" TargetMode="External" /><Relationship Id="rId16" Type="http://schemas.openxmlformats.org/officeDocument/2006/relationships/hyperlink" Target="https://zakon.rada.gov.ua/laws/show/1132-2010-%D0%BF" TargetMode="External" /><Relationship Id="rId17" Type="http://schemas.openxmlformats.org/officeDocument/2006/relationships/hyperlink" Target="https://zakon.rada.gov.ua/laws/show/1298-2002-%D0%BF" TargetMode="External" /><Relationship Id="rId18" Type="http://schemas.openxmlformats.org/officeDocument/2006/relationships/hyperlink" Target="https://zakon.rada.gov.ua/laws/file/text/123/f464853n143.docx" TargetMode="External" /><Relationship Id="rId19" Type="http://schemas.openxmlformats.org/officeDocument/2006/relationships/hyperlink" Target="https://zakon.rada.gov.ua/laws/file/text/70/f464853n113.doc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zakon.rada.gov.ua/laws/file/text/70/f464853n79.doc" TargetMode="External" /><Relationship Id="rId21" Type="http://schemas.openxmlformats.org/officeDocument/2006/relationships/image" Target="media/image2.png" /><Relationship Id="rId22" Type="http://schemas.openxmlformats.org/officeDocument/2006/relationships/image" Target="media/image3.pn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laws/show/863-2017-%D0%BF" TargetMode="External" /><Relationship Id="rId6" Type="http://schemas.openxmlformats.org/officeDocument/2006/relationships/hyperlink" Target="https://zakon.rada.gov.ua/laws/show/88-2018-%D0%BF" TargetMode="External" /><Relationship Id="rId7" Type="http://schemas.openxmlformats.org/officeDocument/2006/relationships/hyperlink" Target="https://zakon.rada.gov.ua/laws/show/129-2019-%D0%BF" TargetMode="External" /><Relationship Id="rId8" Type="http://schemas.openxmlformats.org/officeDocument/2006/relationships/hyperlink" Target="https://zakon.rada.gov.ua/laws/show/152-2020-%D0%BF" TargetMode="External" /><Relationship Id="rId9" Type="http://schemas.openxmlformats.org/officeDocument/2006/relationships/hyperlink" Target="https://zakon.rada.gov.ua/laws/show/477-2021-%D0%B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та умов надання субвенції з державного бюджету місцевим бюджетам на надання державної підтримки особам з особл... | від 14.02.2017 № 88</dc:title>
  <cp:revision>0</cp:revision>
</cp:coreProperties>
</file>